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黑体" w:hAnsi="黑体" w:eastAsia="黑体"/>
          <w:sz w:val="30"/>
          <w:szCs w:val="30"/>
        </w:rPr>
      </w:pPr>
      <w:r>
        <w:rPr>
          <w:rFonts w:hint="eastAsia" w:ascii="黑体" w:hAnsi="黑体" w:eastAsia="黑体"/>
          <w:sz w:val="30"/>
          <w:szCs w:val="30"/>
        </w:rPr>
        <w:t>成都中医药大学本科毕业论文（设计）管理系统操作手册</w:t>
      </w:r>
    </w:p>
    <w:p>
      <w:pPr>
        <w:spacing w:line="312" w:lineRule="auto"/>
        <w:jc w:val="center"/>
        <w:rPr>
          <w:rFonts w:ascii="黑体" w:hAnsi="黑体" w:eastAsia="黑体"/>
          <w:sz w:val="30"/>
          <w:szCs w:val="30"/>
        </w:rPr>
      </w:pPr>
      <w:bookmarkStart w:id="0" w:name="_Hlk21684332"/>
      <w:r>
        <w:rPr>
          <w:rFonts w:hint="eastAsia" w:ascii="黑体" w:hAnsi="黑体" w:eastAsia="黑体"/>
          <w:sz w:val="30"/>
          <w:szCs w:val="30"/>
        </w:rPr>
        <w:t>（指导教师-</w:t>
      </w:r>
      <w:r>
        <w:rPr>
          <w:rFonts w:ascii="黑体" w:hAnsi="黑体" w:eastAsia="黑体"/>
          <w:sz w:val="30"/>
          <w:szCs w:val="30"/>
        </w:rPr>
        <w:t>—</w:t>
      </w:r>
      <w:r>
        <w:rPr>
          <w:rFonts w:hint="eastAsia" w:ascii="黑体" w:hAnsi="黑体" w:eastAsia="黑体"/>
          <w:sz w:val="30"/>
          <w:szCs w:val="30"/>
        </w:rPr>
        <w:t>简版全过程）</w:t>
      </w:r>
      <w:bookmarkEnd w:id="0"/>
    </w:p>
    <w:p>
      <w:pPr>
        <w:spacing w:line="312" w:lineRule="auto"/>
        <w:rPr>
          <w:rFonts w:ascii="黑体" w:hAnsi="黑体" w:eastAsia="黑体"/>
          <w:szCs w:val="21"/>
        </w:rPr>
      </w:pPr>
      <w:bookmarkStart w:id="1" w:name="_Hlk27072516"/>
      <w:r>
        <w:rPr>
          <w:rFonts w:hint="eastAsia" w:ascii="黑体" w:hAnsi="黑体" w:eastAsia="黑体"/>
          <w:szCs w:val="21"/>
        </w:rPr>
        <w:t>步骤：1登录-</w:t>
      </w:r>
      <w:r>
        <w:rPr>
          <w:rFonts w:hint="eastAsia" w:ascii="黑体" w:hAnsi="黑体" w:eastAsia="黑体"/>
          <w:szCs w:val="21"/>
          <w:lang w:val="en-US" w:eastAsia="zh-CN"/>
        </w:rPr>
        <w:t>2</w:t>
      </w:r>
      <w:r>
        <w:rPr>
          <w:rFonts w:hint="eastAsia" w:ascii="黑体" w:hAnsi="黑体" w:eastAsia="黑体"/>
          <w:szCs w:val="21"/>
        </w:rPr>
        <w:t>开题报告-</w:t>
      </w:r>
      <w:r>
        <w:rPr>
          <w:rFonts w:hint="eastAsia" w:ascii="黑体" w:hAnsi="黑体" w:eastAsia="黑体"/>
          <w:szCs w:val="21"/>
          <w:lang w:val="en-US" w:eastAsia="zh-CN"/>
        </w:rPr>
        <w:t>3</w:t>
      </w:r>
      <w:r>
        <w:rPr>
          <w:rFonts w:hint="eastAsia" w:ascii="黑体" w:hAnsi="黑体" w:eastAsia="黑体"/>
          <w:szCs w:val="21"/>
        </w:rPr>
        <w:t>中期检查-</w:t>
      </w:r>
      <w:r>
        <w:rPr>
          <w:rFonts w:hint="eastAsia" w:ascii="黑体" w:hAnsi="黑体" w:eastAsia="黑体"/>
          <w:szCs w:val="21"/>
          <w:lang w:val="en-US" w:eastAsia="zh-CN"/>
        </w:rPr>
        <w:t>4</w:t>
      </w:r>
      <w:r>
        <w:rPr>
          <w:rFonts w:hint="eastAsia" w:ascii="黑体" w:hAnsi="黑体" w:eastAsia="黑体"/>
          <w:szCs w:val="21"/>
        </w:rPr>
        <w:t>过程文档含抄袭检测-</w:t>
      </w:r>
      <w:r>
        <w:rPr>
          <w:rFonts w:hint="eastAsia" w:ascii="黑体" w:hAnsi="黑体" w:eastAsia="黑体"/>
          <w:szCs w:val="21"/>
          <w:lang w:val="en-US" w:eastAsia="zh-CN"/>
        </w:rPr>
        <w:t>5</w:t>
      </w:r>
      <w:r>
        <w:rPr>
          <w:rFonts w:hint="eastAsia" w:ascii="黑体" w:hAnsi="黑体" w:eastAsia="黑体"/>
          <w:szCs w:val="21"/>
        </w:rPr>
        <w:t>导师评阅-</w:t>
      </w:r>
      <w:r>
        <w:rPr>
          <w:rFonts w:hint="eastAsia" w:ascii="黑体" w:hAnsi="黑体" w:eastAsia="黑体"/>
          <w:szCs w:val="21"/>
          <w:lang w:val="en-US" w:eastAsia="zh-CN"/>
        </w:rPr>
        <w:t>6</w:t>
      </w:r>
      <w:r>
        <w:rPr>
          <w:rFonts w:hint="eastAsia" w:ascii="黑体" w:hAnsi="黑体" w:eastAsia="黑体"/>
          <w:szCs w:val="21"/>
        </w:rPr>
        <w:t>评审推优</w:t>
      </w:r>
      <w:r>
        <w:rPr>
          <w:rFonts w:ascii="黑体" w:hAnsi="黑体" w:eastAsia="黑体"/>
          <w:szCs w:val="21"/>
        </w:rPr>
        <w:t xml:space="preserve"> </w:t>
      </w:r>
    </w:p>
    <w:p>
      <w:pPr>
        <w:pStyle w:val="4"/>
        <w:jc w:val="left"/>
      </w:pPr>
      <w:r>
        <w:rPr>
          <w:rFonts w:hint="eastAsia"/>
        </w:rPr>
        <w:t>（一）登录系统</w:t>
      </w:r>
      <w:bookmarkStart w:id="4" w:name="_GoBack"/>
      <w:bookmarkEnd w:id="4"/>
    </w:p>
    <w:p>
      <w:pPr>
        <w:pStyle w:val="11"/>
        <w:numPr>
          <w:ilvl w:val="0"/>
          <w:numId w:val="1"/>
        </w:numPr>
        <w:spacing w:line="312" w:lineRule="auto"/>
        <w:ind w:firstLineChars="0"/>
        <w:rPr>
          <w:rFonts w:ascii="微软雅黑" w:hAnsi="微软雅黑" w:eastAsia="微软雅黑"/>
          <w:color w:val="000000" w:themeColor="text1"/>
          <w:sz w:val="18"/>
          <w:szCs w:val="18"/>
          <w:shd w:val="clear" w:color="auto" w:fill="FAFAFA"/>
          <w14:textFill>
            <w14:solidFill>
              <w14:schemeClr w14:val="tx1"/>
            </w14:solidFill>
          </w14:textFill>
        </w:rPr>
      </w:pPr>
      <w:bookmarkStart w:id="2" w:name="_Hlk21683737"/>
      <w:r>
        <w:rPr>
          <w:rFonts w:ascii="微软雅黑" w:hAnsi="微软雅黑" w:eastAsia="微软雅黑"/>
          <w:color w:val="000000" w:themeColor="text1"/>
          <w:sz w:val="18"/>
          <w:szCs w:val="18"/>
          <w:shd w:val="clear" w:color="auto" w:fill="FAFAFA"/>
          <w14:textFill>
            <w14:solidFill>
              <w14:schemeClr w14:val="tx1"/>
            </w14:solidFill>
          </w14:textFill>
        </w:rPr>
        <w:t>输入</w:t>
      </w:r>
      <w:r>
        <w:rPr>
          <w:rFonts w:hint="eastAsia" w:ascii="微软雅黑" w:hAnsi="微软雅黑" w:eastAsia="微软雅黑"/>
          <w:color w:val="000000" w:themeColor="text1"/>
          <w:sz w:val="18"/>
          <w:szCs w:val="18"/>
          <w:shd w:val="clear" w:color="auto" w:fill="FAFAFA"/>
          <w14:textFill>
            <w14:solidFill>
              <w14:schemeClr w14:val="tx1"/>
            </w14:solidFill>
          </w14:textFill>
        </w:rPr>
        <w:t>成都中医药大学</w:t>
      </w:r>
      <w:r>
        <w:rPr>
          <w:rFonts w:ascii="微软雅黑" w:hAnsi="微软雅黑" w:eastAsia="微软雅黑"/>
          <w:color w:val="000000" w:themeColor="text1"/>
          <w:sz w:val="18"/>
          <w:szCs w:val="18"/>
          <w:shd w:val="clear" w:color="auto" w:fill="FAFAFA"/>
          <w14:textFill>
            <w14:solidFill>
              <w14:schemeClr w14:val="tx1"/>
            </w14:solidFill>
          </w14:textFill>
        </w:rPr>
        <w:t xml:space="preserve">知网毕设系统域名 </w:t>
      </w:r>
      <w:r>
        <w:fldChar w:fldCharType="begin"/>
      </w:r>
      <w:r>
        <w:instrText xml:space="preserve"> HYPERLINK "http://cdutcm.co.cnki.net" </w:instrText>
      </w:r>
      <w:r>
        <w:fldChar w:fldCharType="separate"/>
      </w:r>
      <w:r>
        <w:rPr>
          <w:rStyle w:val="8"/>
          <w:rFonts w:ascii="微软雅黑" w:hAnsi="微软雅黑" w:eastAsia="微软雅黑"/>
          <w:sz w:val="18"/>
          <w:szCs w:val="18"/>
          <w:shd w:val="clear" w:color="auto" w:fill="FAFAFA"/>
        </w:rPr>
        <w:t>http://cdutcm.co.cnki.net</w:t>
      </w:r>
      <w:r>
        <w:rPr>
          <w:rStyle w:val="8"/>
          <w:rFonts w:ascii="微软雅黑" w:hAnsi="微软雅黑" w:eastAsia="微软雅黑"/>
          <w:sz w:val="18"/>
          <w:szCs w:val="18"/>
          <w:shd w:val="clear" w:color="auto" w:fill="FAFAFA"/>
        </w:rPr>
        <w:fldChar w:fldCharType="end"/>
      </w:r>
      <w:r>
        <w:rPr>
          <w:rFonts w:ascii="微软雅黑" w:hAnsi="微软雅黑" w:eastAsia="微软雅黑"/>
          <w:color w:val="000000" w:themeColor="text1"/>
          <w:sz w:val="18"/>
          <w:szCs w:val="18"/>
          <w:shd w:val="clear" w:color="auto" w:fill="FAFAFA"/>
          <w14:textFill>
            <w14:solidFill>
              <w14:schemeClr w14:val="tx1"/>
            </w14:solidFill>
          </w14:textFill>
        </w:rPr>
        <w:t xml:space="preserve">  </w:t>
      </w:r>
    </w:p>
    <w:p>
      <w:pPr>
        <w:pStyle w:val="11"/>
        <w:spacing w:line="312" w:lineRule="auto"/>
        <w:ind w:left="360" w:firstLine="0" w:firstLineChars="0"/>
        <w:rPr>
          <w:rFonts w:ascii="微软雅黑" w:hAnsi="微软雅黑" w:eastAsia="微软雅黑"/>
          <w:color w:val="000000" w:themeColor="text1"/>
          <w:sz w:val="18"/>
          <w:szCs w:val="18"/>
          <w:shd w:val="clear" w:color="auto" w:fill="FAFAFA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/>
          <w:color w:val="FF0000"/>
          <w:sz w:val="18"/>
          <w:szCs w:val="18"/>
          <w:shd w:val="clear" w:color="auto" w:fill="FAFAFA"/>
        </w:rPr>
        <w:t>提示：不要使用</w:t>
      </w:r>
      <w:r>
        <w:rPr>
          <w:rFonts w:ascii="微软雅黑" w:hAnsi="微软雅黑" w:eastAsia="微软雅黑"/>
          <w:color w:val="FF0000"/>
          <w:sz w:val="18"/>
          <w:szCs w:val="18"/>
          <w:shd w:val="clear" w:color="auto" w:fill="FAFAFA"/>
        </w:rPr>
        <w:t>IE浏览器，</w:t>
      </w:r>
      <w:r>
        <w:rPr>
          <w:rFonts w:hint="eastAsia" w:ascii="微软雅黑" w:hAnsi="微软雅黑" w:eastAsia="微软雅黑"/>
          <w:color w:val="FF0000"/>
          <w:sz w:val="18"/>
          <w:szCs w:val="18"/>
          <w:shd w:val="clear" w:color="auto" w:fill="FAFAFA"/>
        </w:rPr>
        <w:t>也不建议使用3</w:t>
      </w:r>
      <w:r>
        <w:rPr>
          <w:rFonts w:ascii="微软雅黑" w:hAnsi="微软雅黑" w:eastAsia="微软雅黑"/>
          <w:color w:val="FF0000"/>
          <w:sz w:val="18"/>
          <w:szCs w:val="18"/>
          <w:shd w:val="clear" w:color="auto" w:fill="FAFAFA"/>
        </w:rPr>
        <w:t>60</w:t>
      </w:r>
      <w:r>
        <w:rPr>
          <w:rFonts w:hint="eastAsia" w:ascii="微软雅黑" w:hAnsi="微软雅黑" w:eastAsia="微软雅黑"/>
          <w:color w:val="FF0000"/>
          <w:sz w:val="18"/>
          <w:szCs w:val="18"/>
          <w:shd w:val="clear" w:color="auto" w:fill="FAFAFA"/>
        </w:rPr>
        <w:t>，如</w:t>
      </w:r>
      <w:r>
        <w:rPr>
          <w:rFonts w:ascii="微软雅黑" w:hAnsi="微软雅黑" w:eastAsia="微软雅黑"/>
          <w:color w:val="FF0000"/>
          <w:sz w:val="18"/>
          <w:szCs w:val="18"/>
          <w:shd w:val="clear" w:color="auto" w:fill="FAFAFA"/>
        </w:rPr>
        <w:t>360浏览器</w:t>
      </w:r>
      <w:r>
        <w:rPr>
          <w:rFonts w:hint="eastAsia" w:ascii="微软雅黑" w:hAnsi="微软雅黑" w:eastAsia="微软雅黑"/>
          <w:color w:val="FF0000"/>
          <w:sz w:val="18"/>
          <w:szCs w:val="18"/>
          <w:shd w:val="clear" w:color="auto" w:fill="FAFAFA"/>
        </w:rPr>
        <w:t>页面显示缺失，建议使用</w:t>
      </w:r>
      <w:r>
        <w:rPr>
          <w:rFonts w:ascii="微软雅黑" w:hAnsi="微软雅黑" w:eastAsia="微软雅黑"/>
          <w:color w:val="FF0000"/>
          <w:sz w:val="18"/>
          <w:szCs w:val="18"/>
          <w:shd w:val="clear" w:color="auto" w:fill="FAFAFA"/>
        </w:rPr>
        <w:t>QQ浏览器、搜狗浏览器、、谷歌浏览器，</w:t>
      </w:r>
      <w:r>
        <w:rPr>
          <w:rFonts w:hint="eastAsia" w:ascii="微软雅黑" w:hAnsi="微软雅黑" w:eastAsia="微软雅黑"/>
          <w:color w:val="FF0000"/>
          <w:sz w:val="18"/>
          <w:szCs w:val="18"/>
          <w:shd w:val="clear" w:color="auto" w:fill="FAFAFA"/>
        </w:rPr>
        <w:t>火狐浏览器，并</w:t>
      </w:r>
      <w:r>
        <w:rPr>
          <w:rFonts w:ascii="微软雅黑" w:hAnsi="微软雅黑" w:eastAsia="微软雅黑"/>
          <w:color w:val="FF0000"/>
          <w:sz w:val="18"/>
          <w:szCs w:val="18"/>
          <w:shd w:val="clear" w:color="auto" w:fill="FAFAFA"/>
        </w:rPr>
        <w:t>切换极速模式</w:t>
      </w:r>
    </w:p>
    <w:bookmarkEnd w:id="2"/>
    <w:p>
      <w:pPr>
        <w:spacing w:line="312" w:lineRule="auto"/>
        <w:ind w:firstLine="360" w:firstLineChars="200"/>
        <w:rPr>
          <w:rFonts w:ascii="微软雅黑" w:hAnsi="微软雅黑" w:eastAsia="微软雅黑"/>
          <w:b/>
          <w:bCs/>
          <w:color w:val="000000" w:themeColor="text1"/>
          <w:sz w:val="18"/>
          <w:szCs w:val="18"/>
          <w:shd w:val="clear" w:color="auto" w:fill="FAFAFA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/>
          <w:color w:val="000000" w:themeColor="text1"/>
          <w:sz w:val="18"/>
          <w:szCs w:val="18"/>
          <w:shd w:val="clear" w:color="auto" w:fill="FAFAFA"/>
          <w14:textFill>
            <w14:solidFill>
              <w14:schemeClr w14:val="tx1"/>
            </w14:solidFill>
          </w14:textFill>
        </w:rPr>
        <w:t>输入用户名密码，选择教师角色，（凡登录后再忘记密码，可使用“忘记密码”按钮通过手机短信自助找回密码）。</w:t>
      </w:r>
      <w:r>
        <w:rPr>
          <w:rFonts w:hint="eastAsia" w:ascii="微软雅黑" w:hAnsi="微软雅黑" w:eastAsia="微软雅黑"/>
          <w:b/>
          <w:bCs/>
          <w:color w:val="000000" w:themeColor="text1"/>
          <w:sz w:val="18"/>
          <w:szCs w:val="18"/>
          <w:shd w:val="clear" w:color="auto" w:fill="FAFAFA"/>
          <w14:textFill>
            <w14:solidFill>
              <w14:schemeClr w14:val="tx1"/>
            </w14:solidFill>
          </w14:textFill>
        </w:rPr>
        <w:t>初始用户名密码默认为教工编号。</w:t>
      </w:r>
    </w:p>
    <w:p>
      <w:pPr>
        <w:spacing w:line="312" w:lineRule="auto"/>
        <w:jc w:val="center"/>
      </w:pPr>
      <w:r>
        <w:drawing>
          <wp:inline distT="0" distB="0" distL="114300" distR="114300">
            <wp:extent cx="5266690" cy="2917825"/>
            <wp:effectExtent l="0" t="0" r="635" b="635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1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12" w:lineRule="auto"/>
        <w:rPr>
          <w:b/>
          <w:bCs/>
        </w:rPr>
      </w:pPr>
      <w:bookmarkStart w:id="3" w:name="_Hlk21685772"/>
      <w:r>
        <w:rPr>
          <w:rFonts w:hint="eastAsia" w:ascii="黑体" w:hAnsi="黑体" w:eastAsia="黑体"/>
          <w:sz w:val="30"/>
          <w:szCs w:val="30"/>
        </w:rPr>
        <w:t>登录必须绑定手机号，教师外网登录变更I</w:t>
      </w:r>
      <w:r>
        <w:rPr>
          <w:rFonts w:ascii="黑体" w:hAnsi="黑体" w:eastAsia="黑体"/>
          <w:sz w:val="30"/>
          <w:szCs w:val="30"/>
        </w:rPr>
        <w:t>P</w:t>
      </w:r>
      <w:r>
        <w:rPr>
          <w:rFonts w:hint="eastAsia" w:ascii="黑体" w:hAnsi="黑体" w:eastAsia="黑体"/>
          <w:sz w:val="30"/>
          <w:szCs w:val="30"/>
        </w:rPr>
        <w:t>登录需短信验证</w:t>
      </w:r>
    </w:p>
    <w:p>
      <w:pPr>
        <w:spacing w:line="312" w:lineRule="auto"/>
        <w:jc w:val="center"/>
        <w:rPr>
          <w:rFonts w:ascii="黑体" w:hAnsi="黑体" w:eastAsia="黑体"/>
          <w:sz w:val="30"/>
          <w:szCs w:val="30"/>
        </w:rPr>
      </w:pPr>
      <w:r>
        <w:rPr>
          <w:bdr w:val="single" w:color="auto" w:sz="4" w:space="0"/>
        </w:rPr>
        <w:drawing>
          <wp:inline distT="0" distB="0" distL="0" distR="0">
            <wp:extent cx="4000500" cy="160274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31501" cy="1615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12" w:lineRule="auto"/>
        <w:rPr>
          <w:b/>
          <w:bCs/>
        </w:rPr>
      </w:pPr>
      <w:r>
        <w:rPr>
          <w:rFonts w:hint="eastAsia" w:ascii="黑体" w:hAnsi="黑体" w:eastAsia="黑体"/>
          <w:sz w:val="30"/>
          <w:szCs w:val="30"/>
        </w:rPr>
        <w:t>忘记密码可自助找回</w:t>
      </w:r>
    </w:p>
    <w:p>
      <w:pPr>
        <w:spacing w:line="312" w:lineRule="auto"/>
        <w:jc w:val="center"/>
        <w:rPr>
          <w:rFonts w:ascii="黑体" w:hAnsi="黑体" w:eastAsia="黑体"/>
          <w:szCs w:val="21"/>
        </w:rPr>
      </w:pPr>
      <w:r>
        <w:rPr>
          <w:szCs w:val="21"/>
        </w:rPr>
        <w:drawing>
          <wp:inline distT="0" distB="0" distL="0" distR="0">
            <wp:extent cx="4843145" cy="854075"/>
            <wp:effectExtent l="0" t="0" r="0" b="3175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54377" cy="874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1"/>
    <w:bookmarkEnd w:id="3"/>
    <w:p>
      <w:pPr>
        <w:pStyle w:val="4"/>
        <w:jc w:val="left"/>
      </w:pPr>
      <w:r>
        <w:rPr>
          <w:rFonts w:hint="eastAsia"/>
        </w:rPr>
        <w:t>（</w:t>
      </w:r>
      <w:r>
        <w:rPr>
          <w:rFonts w:hint="eastAsia"/>
          <w:lang w:val="en-US" w:eastAsia="zh-CN"/>
        </w:rPr>
        <w:t>二</w:t>
      </w:r>
      <w:r>
        <w:rPr>
          <w:rFonts w:hint="eastAsia"/>
        </w:rPr>
        <w:t>）开题报告</w:t>
      </w:r>
    </w:p>
    <w:p>
      <w:pPr>
        <w:spacing w:line="312" w:lineRule="auto"/>
        <w:rPr>
          <w:b/>
          <w:bCs/>
        </w:rPr>
      </w:pPr>
      <w:r>
        <w:rPr>
          <w:rFonts w:hint="eastAsia"/>
          <w:b/>
          <w:bCs/>
        </w:rPr>
        <w:t>步骤：左侧导航栏</w:t>
      </w:r>
      <w:r>
        <w:rPr>
          <w:b/>
          <w:bCs/>
        </w:rPr>
        <w:t>—</w:t>
      </w:r>
      <w:r>
        <w:rPr>
          <w:rFonts w:hint="eastAsia"/>
          <w:b/>
          <w:bCs/>
        </w:rPr>
        <w:t>过程文档管理</w:t>
      </w:r>
      <w:r>
        <w:rPr>
          <w:b/>
          <w:bCs/>
        </w:rPr>
        <w:t>—</w:t>
      </w:r>
      <w:r>
        <w:rPr>
          <w:rFonts w:hint="eastAsia"/>
          <w:b/>
          <w:bCs/>
        </w:rPr>
        <w:t>审核开题报告</w:t>
      </w:r>
      <w:r>
        <w:rPr>
          <w:b/>
          <w:bCs/>
        </w:rPr>
        <w:t>—</w:t>
      </w:r>
      <w:r>
        <w:rPr>
          <w:rFonts w:hint="eastAsia"/>
          <w:b/>
          <w:bCs/>
        </w:rPr>
        <w:t>最右侧【操作】内，点审核 进行审核</w:t>
      </w:r>
    </w:p>
    <w:p>
      <w:pPr>
        <w:rPr>
          <w:rFonts w:hint="eastAsia"/>
        </w:rPr>
      </w:pPr>
      <w:r>
        <w:drawing>
          <wp:inline distT="0" distB="0" distL="0" distR="0">
            <wp:extent cx="5278120" cy="1265555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1265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jc w:val="left"/>
      </w:pPr>
      <w:r>
        <w:rPr>
          <w:rFonts w:hint="eastAsia"/>
        </w:rPr>
        <w:t>（</w:t>
      </w:r>
      <w:r>
        <w:rPr>
          <w:rFonts w:hint="eastAsia"/>
          <w:lang w:val="en-US" w:eastAsia="zh-CN"/>
        </w:rPr>
        <w:t>三</w:t>
      </w:r>
      <w:r>
        <w:rPr>
          <w:rFonts w:hint="eastAsia"/>
        </w:rPr>
        <w:t>）中期检查</w:t>
      </w:r>
    </w:p>
    <w:p>
      <w:pPr>
        <w:spacing w:line="312" w:lineRule="auto"/>
        <w:rPr>
          <w:b/>
          <w:bCs/>
        </w:rPr>
      </w:pPr>
      <w:r>
        <w:rPr>
          <w:rFonts w:hint="eastAsia"/>
          <w:b/>
          <w:bCs/>
        </w:rPr>
        <w:t>步骤：左侧导航栏</w:t>
      </w:r>
      <w:r>
        <w:rPr>
          <w:b/>
          <w:bCs/>
        </w:rPr>
        <w:t>—</w:t>
      </w:r>
      <w:r>
        <w:rPr>
          <w:rFonts w:hint="eastAsia"/>
          <w:b/>
          <w:bCs/>
        </w:rPr>
        <w:t>过程文档管理</w:t>
      </w:r>
      <w:r>
        <w:rPr>
          <w:b/>
          <w:bCs/>
        </w:rPr>
        <w:t>—</w:t>
      </w:r>
      <w:r>
        <w:rPr>
          <w:rFonts w:hint="eastAsia"/>
          <w:b/>
          <w:bCs/>
        </w:rPr>
        <w:t>审核中期检查</w:t>
      </w:r>
      <w:r>
        <w:rPr>
          <w:b/>
          <w:bCs/>
        </w:rPr>
        <w:t>—</w:t>
      </w:r>
      <w:r>
        <w:rPr>
          <w:rFonts w:hint="eastAsia"/>
          <w:b/>
          <w:bCs/>
        </w:rPr>
        <w:t>最右侧【操作】内，点提交</w:t>
      </w:r>
    </w:p>
    <w:p>
      <w:pPr>
        <w:rPr>
          <w:rFonts w:hint="eastAsia"/>
        </w:rPr>
      </w:pPr>
      <w:r>
        <w:drawing>
          <wp:inline distT="0" distB="0" distL="0" distR="0">
            <wp:extent cx="5278120" cy="574675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574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jc w:val="left"/>
      </w:pPr>
      <w:r>
        <w:rPr>
          <w:rFonts w:hint="eastAsia"/>
        </w:rPr>
        <w:t>（</w:t>
      </w:r>
      <w:r>
        <w:rPr>
          <w:rFonts w:hint="eastAsia"/>
          <w:lang w:val="en-US" w:eastAsia="zh-CN"/>
        </w:rPr>
        <w:t>四</w:t>
      </w:r>
      <w:r>
        <w:rPr>
          <w:rFonts w:hint="eastAsia"/>
        </w:rPr>
        <w:t>）其他过程文档审核和论文抄袭检测</w:t>
      </w:r>
    </w:p>
    <w:p>
      <w:pPr>
        <w:spacing w:line="312" w:lineRule="auto"/>
        <w:rPr>
          <w:b/>
          <w:bCs/>
        </w:rPr>
      </w:pPr>
      <w:r>
        <w:rPr>
          <w:rFonts w:hint="eastAsia"/>
          <w:b/>
          <w:bCs/>
        </w:rPr>
        <w:t>步骤：左侧导航栏</w:t>
      </w:r>
      <w:r>
        <w:rPr>
          <w:b/>
          <w:bCs/>
        </w:rPr>
        <w:t>—</w:t>
      </w:r>
      <w:r>
        <w:rPr>
          <w:rFonts w:hint="eastAsia"/>
          <w:b/>
          <w:bCs/>
        </w:rPr>
        <w:t>过程文档</w:t>
      </w:r>
      <w:r>
        <w:rPr>
          <w:b/>
          <w:bCs/>
        </w:rPr>
        <w:t>—</w:t>
      </w:r>
      <w:r>
        <w:rPr>
          <w:rFonts w:hint="eastAsia"/>
          <w:b/>
          <w:bCs/>
        </w:rPr>
        <w:t>指导记录</w:t>
      </w:r>
      <w:r>
        <w:rPr>
          <w:b/>
          <w:bCs/>
        </w:rPr>
        <w:t>—</w:t>
      </w:r>
      <w:r>
        <w:rPr>
          <w:rFonts w:hint="eastAsia"/>
          <w:b/>
          <w:bCs/>
        </w:rPr>
        <w:t>最右侧【查看】内，点详情 进行审核</w:t>
      </w:r>
    </w:p>
    <w:p>
      <w:r>
        <w:drawing>
          <wp:inline distT="0" distB="0" distL="0" distR="0">
            <wp:extent cx="5278120" cy="97409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974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 w:ascii="黑体" w:hAnsi="黑体" w:eastAsia="黑体"/>
          <w:sz w:val="30"/>
          <w:szCs w:val="30"/>
        </w:rPr>
        <w:t>论文提交和论文抄袭检测</w:t>
      </w:r>
    </w:p>
    <w:p>
      <w:r>
        <w:drawing>
          <wp:inline distT="0" distB="0" distL="0" distR="0">
            <wp:extent cx="5278120" cy="1667510"/>
            <wp:effectExtent l="0" t="0" r="0" b="889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1667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12" w:lineRule="auto"/>
        <w:rPr>
          <w:b/>
          <w:bCs/>
        </w:rPr>
      </w:pPr>
      <w:r>
        <w:rPr>
          <w:rFonts w:hint="eastAsia"/>
          <w:b/>
          <w:bCs/>
        </w:rPr>
        <w:t>步骤：左侧导航栏</w:t>
      </w:r>
      <w:r>
        <w:rPr>
          <w:b/>
          <w:bCs/>
        </w:rPr>
        <w:t>—</w:t>
      </w:r>
      <w:r>
        <w:rPr>
          <w:rFonts w:hint="eastAsia"/>
          <w:b/>
          <w:bCs/>
        </w:rPr>
        <w:t>过程文档</w:t>
      </w:r>
      <w:r>
        <w:rPr>
          <w:b/>
          <w:bCs/>
        </w:rPr>
        <w:t>—</w:t>
      </w:r>
      <w:r>
        <w:rPr>
          <w:rFonts w:hint="eastAsia"/>
          <w:b/>
          <w:bCs/>
        </w:rPr>
        <w:t>审核毕设论文</w:t>
      </w:r>
      <w:r>
        <w:rPr>
          <w:b/>
          <w:bCs/>
        </w:rPr>
        <w:t>—</w:t>
      </w:r>
      <w:r>
        <w:rPr>
          <w:rFonts w:hint="eastAsia"/>
          <w:b/>
          <w:bCs/>
        </w:rPr>
        <w:t>最右侧【查看】内，点详情 进行审核</w:t>
      </w:r>
    </w:p>
    <w:p>
      <w:r>
        <w:drawing>
          <wp:inline distT="0" distB="0" distL="0" distR="0">
            <wp:extent cx="5278120" cy="1421765"/>
            <wp:effectExtent l="0" t="0" r="0" b="698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1421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rPr>
          <w:rFonts w:hint="eastAsia"/>
          <w:b/>
          <w:bCs/>
        </w:rPr>
        <w:t>可在线查阅或下载抄袭检测报告单、可对论文进行在线批注，</w:t>
      </w:r>
    </w:p>
    <w:p>
      <w:r>
        <w:drawing>
          <wp:inline distT="0" distB="0" distL="0" distR="0">
            <wp:extent cx="5868035" cy="911860"/>
            <wp:effectExtent l="19050" t="19050" r="18415" b="21590"/>
            <wp:docPr id="1127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72" name="图片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15604" cy="919509"/>
                    </a:xfrm>
                    <a:prstGeom prst="rect">
                      <a:avLst/>
                    </a:prstGeom>
                    <a:noFill/>
                    <a:ln w="15875">
                      <a:solidFill>
                        <a:srgbClr val="00B0F0"/>
                      </a:solidFill>
                      <a:round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4770120" cy="800100"/>
            <wp:effectExtent l="19050" t="19050" r="11430" b="19050"/>
            <wp:docPr id="11270" name="图片 8" descr="1@JRHAN8EM_Z$OBI}E`_W$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70" name="图片 8" descr="1@JRHAN8EM_Z$OBI}E`_W$C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70437" cy="80010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00B0F0"/>
                      </a:solidFill>
                      <a:round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 w:eastAsia="微软雅黑"/>
          <w:color w:val="FF0000"/>
          <w:sz w:val="18"/>
          <w:szCs w:val="18"/>
          <w:shd w:val="clear" w:color="auto" w:fill="FAFAFA"/>
        </w:rPr>
      </w:pPr>
      <w:r>
        <w:rPr>
          <w:rFonts w:hint="eastAsia" w:ascii="微软雅黑" w:hAnsi="微软雅黑" w:eastAsia="微软雅黑"/>
          <w:color w:val="FF0000"/>
          <w:sz w:val="18"/>
          <w:szCs w:val="18"/>
          <w:shd w:val="clear" w:color="auto" w:fill="FAFAFA"/>
        </w:rPr>
        <w:t>提示：</w:t>
      </w:r>
      <w:r>
        <w:rPr>
          <w:rFonts w:hint="eastAsia"/>
          <w:color w:val="FF0000"/>
        </w:rPr>
        <w:t>批注内容也可审核后继续添加、审核意见的内容也可再次修改完善</w:t>
      </w:r>
    </w:p>
    <w:p>
      <w:pPr>
        <w:rPr>
          <w:color w:val="FF0000"/>
        </w:rPr>
      </w:pPr>
      <w:r>
        <w:rPr>
          <w:rFonts w:hint="eastAsia" w:ascii="微软雅黑" w:hAnsi="微软雅黑" w:eastAsia="微软雅黑"/>
          <w:color w:val="FF0000"/>
          <w:sz w:val="18"/>
          <w:szCs w:val="18"/>
          <w:shd w:val="clear" w:color="auto" w:fill="FAFAFA"/>
        </w:rPr>
        <w:t>提示：</w:t>
      </w:r>
      <w:r>
        <w:rPr>
          <w:rFonts w:hint="eastAsia"/>
          <w:color w:val="FF0000"/>
        </w:rPr>
        <w:t>论文必须经过指导教师审核后，才能进行查重检测，出具报告单</w:t>
      </w:r>
    </w:p>
    <w:p>
      <w:pPr>
        <w:pStyle w:val="4"/>
        <w:jc w:val="left"/>
      </w:pPr>
      <w:r>
        <w:rPr>
          <w:rFonts w:hint="eastAsia"/>
        </w:rPr>
        <w:t>（</w:t>
      </w:r>
      <w:r>
        <w:rPr>
          <w:rFonts w:hint="eastAsia"/>
          <w:lang w:val="en-US" w:eastAsia="zh-CN"/>
        </w:rPr>
        <w:t>五</w:t>
      </w:r>
      <w:r>
        <w:rPr>
          <w:rFonts w:hint="eastAsia"/>
        </w:rPr>
        <w:t>）导师评阅</w:t>
      </w:r>
    </w:p>
    <w:p>
      <w:pPr>
        <w:spacing w:line="312" w:lineRule="auto"/>
        <w:rPr>
          <w:b/>
          <w:bCs/>
        </w:rPr>
      </w:pPr>
      <w:r>
        <w:rPr>
          <w:rFonts w:hint="eastAsia"/>
          <w:b/>
          <w:bCs/>
        </w:rPr>
        <w:t>步骤：左侧导航栏</w:t>
      </w:r>
      <w:r>
        <w:rPr>
          <w:b/>
          <w:bCs/>
        </w:rPr>
        <w:t>—</w:t>
      </w:r>
      <w:r>
        <w:rPr>
          <w:rFonts w:hint="eastAsia"/>
          <w:b/>
          <w:bCs/>
        </w:rPr>
        <w:t>评审答辩和成绩管理</w:t>
      </w:r>
      <w:r>
        <w:rPr>
          <w:b/>
          <w:bCs/>
        </w:rPr>
        <w:t>—</w:t>
      </w:r>
      <w:r>
        <w:rPr>
          <w:rFonts w:hint="eastAsia"/>
          <w:b/>
          <w:bCs/>
        </w:rPr>
        <w:t>导师评阅学生</w:t>
      </w:r>
      <w:r>
        <w:rPr>
          <w:b/>
          <w:bCs/>
        </w:rPr>
        <w:t>—</w:t>
      </w:r>
      <w:r>
        <w:rPr>
          <w:rFonts w:hint="eastAsia"/>
          <w:b/>
          <w:bCs/>
        </w:rPr>
        <w:t>最右侧操作下方“查看详情”</w:t>
      </w:r>
    </w:p>
    <w:p>
      <w:pPr>
        <w:rPr>
          <w:rFonts w:hint="eastAsia"/>
          <w:color w:val="FF0000"/>
        </w:rPr>
      </w:pPr>
      <w:r>
        <w:drawing>
          <wp:inline distT="0" distB="0" distL="0" distR="0">
            <wp:extent cx="5278120" cy="916305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916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pStyle w:val="4"/>
        <w:jc w:val="left"/>
      </w:pPr>
      <w:r>
        <w:rPr>
          <w:rFonts w:hint="eastAsia"/>
        </w:rPr>
        <w:t>（</w:t>
      </w:r>
      <w:r>
        <w:rPr>
          <w:rFonts w:hint="eastAsia"/>
          <w:lang w:val="en-US" w:eastAsia="zh-CN"/>
        </w:rPr>
        <w:t>六</w:t>
      </w:r>
      <w:r>
        <w:rPr>
          <w:rFonts w:hint="eastAsia"/>
        </w:rPr>
        <w:t>）评审推优</w:t>
      </w:r>
    </w:p>
    <w:p>
      <w:pPr>
        <w:rPr>
          <w:b/>
          <w:bCs/>
        </w:rPr>
      </w:pPr>
      <w:r>
        <w:rPr>
          <w:rFonts w:hint="eastAsia"/>
          <w:b/>
          <w:bCs/>
        </w:rPr>
        <w:t>步骤：左侧导航栏</w:t>
      </w:r>
      <w:r>
        <w:rPr>
          <w:b/>
          <w:bCs/>
        </w:rPr>
        <w:t>—</w:t>
      </w:r>
      <w:r>
        <w:rPr>
          <w:rFonts w:hint="eastAsia"/>
          <w:b/>
          <w:bCs/>
        </w:rPr>
        <w:t>推优管理</w:t>
      </w:r>
      <w:r>
        <w:rPr>
          <w:b/>
          <w:bCs/>
        </w:rPr>
        <w:t>—</w:t>
      </w:r>
      <w:r>
        <w:rPr>
          <w:rFonts w:hint="eastAsia"/>
          <w:b/>
          <w:bCs/>
        </w:rPr>
        <w:t>优秀论文情况</w:t>
      </w:r>
      <w:r>
        <w:rPr>
          <w:b/>
          <w:bCs/>
        </w:rPr>
        <w:t>—</w:t>
      </w:r>
      <w:r>
        <w:rPr>
          <w:rFonts w:hint="eastAsia"/>
          <w:b/>
          <w:bCs/>
        </w:rPr>
        <w:t>点最右侧【推优详情】进行教师推荐或审核学生自荐情况</w:t>
      </w:r>
    </w:p>
    <w:p>
      <w:pPr>
        <w:rPr>
          <w:color w:val="FF0000"/>
        </w:rPr>
      </w:pPr>
      <w:r>
        <w:rPr>
          <w:rFonts w:hint="eastAsia" w:ascii="微软雅黑" w:hAnsi="微软雅黑" w:eastAsia="微软雅黑"/>
          <w:color w:val="FF0000"/>
          <w:sz w:val="18"/>
          <w:szCs w:val="18"/>
          <w:shd w:val="clear" w:color="auto" w:fill="FAFAFA"/>
        </w:rPr>
        <w:t>提示：</w:t>
      </w:r>
      <w:r>
        <w:rPr>
          <w:rFonts w:hint="eastAsia"/>
          <w:color w:val="FF0000"/>
        </w:rPr>
        <w:t>推优路径；1）学生自荐；2）指导教师推荐</w:t>
      </w:r>
    </w:p>
    <w:p>
      <w:r>
        <w:drawing>
          <wp:inline distT="0" distB="0" distL="0" distR="0">
            <wp:extent cx="5278120" cy="1447165"/>
            <wp:effectExtent l="0" t="0" r="0" b="63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16"/>
                    <a:srcRect t="11115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144716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12" w:lineRule="auto"/>
        <w:rPr>
          <w:rFonts w:ascii="黑体" w:hAnsi="黑体" w:eastAsia="黑体"/>
          <w:sz w:val="30"/>
          <w:szCs w:val="30"/>
        </w:rPr>
      </w:pPr>
    </w:p>
    <w:p>
      <w:pPr>
        <w:pStyle w:val="4"/>
        <w:jc w:val="left"/>
      </w:pPr>
      <w:r>
        <w:rPr>
          <w:rFonts w:hint="eastAsia"/>
        </w:rPr>
        <w:t>（</w:t>
      </w:r>
      <w:r>
        <w:rPr>
          <w:rFonts w:hint="eastAsia"/>
          <w:lang w:val="en-US" w:eastAsia="zh-CN"/>
        </w:rPr>
        <w:t>七</w:t>
      </w:r>
      <w:r>
        <w:rPr>
          <w:rFonts w:hint="eastAsia"/>
        </w:rPr>
        <w:t>）导出和下载文档</w:t>
      </w:r>
    </w:p>
    <w:p>
      <w:pPr>
        <w:spacing w:line="312" w:lineRule="auto"/>
        <w:rPr>
          <w:rFonts w:ascii="黑体" w:hAnsi="黑体" w:eastAsia="黑体"/>
          <w:sz w:val="30"/>
          <w:szCs w:val="30"/>
        </w:rPr>
      </w:pPr>
      <w:r>
        <w:drawing>
          <wp:inline distT="0" distB="0" distL="0" distR="0">
            <wp:extent cx="5278120" cy="777240"/>
            <wp:effectExtent l="0" t="0" r="0" b="381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777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/>
          <w:color w:val="FF0000"/>
          <w:sz w:val="18"/>
          <w:szCs w:val="18"/>
          <w:shd w:val="clear" w:color="auto" w:fill="FAFAFA"/>
        </w:rPr>
        <w:t>提示：</w:t>
      </w:r>
      <w:r>
        <w:rPr>
          <w:rFonts w:hint="eastAsia"/>
          <w:color w:val="FF0000"/>
        </w:rPr>
        <w:t>建议学生端口，让学生自主导出下载提交</w:t>
      </w:r>
    </w:p>
    <w:p>
      <w:pPr>
        <w:spacing w:line="312" w:lineRule="auto"/>
        <w:rPr>
          <w:rFonts w:ascii="黑体" w:hAnsi="黑体" w:eastAsia="黑体"/>
          <w:sz w:val="30"/>
          <w:szCs w:val="30"/>
        </w:rPr>
      </w:pPr>
      <w:r>
        <w:drawing>
          <wp:inline distT="0" distB="0" distL="0" distR="0">
            <wp:extent cx="5278120" cy="1762125"/>
            <wp:effectExtent l="0" t="0" r="0" b="9525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99977" cy="17695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12" w:lineRule="auto"/>
        <w:rPr>
          <w:rFonts w:ascii="黑体" w:hAnsi="黑体" w:eastAsia="黑体"/>
          <w:sz w:val="30"/>
          <w:szCs w:val="30"/>
        </w:rPr>
      </w:pPr>
    </w:p>
    <w:p>
      <w:pPr>
        <w:pStyle w:val="4"/>
        <w:jc w:val="left"/>
      </w:pPr>
      <w:r>
        <w:rPr>
          <w:rFonts w:hint="eastAsia"/>
        </w:rPr>
        <w:t>（</w:t>
      </w:r>
      <w:r>
        <w:rPr>
          <w:rFonts w:hint="eastAsia"/>
          <w:lang w:val="en-US" w:eastAsia="zh-CN"/>
        </w:rPr>
        <w:t>八</w:t>
      </w:r>
      <w:r>
        <w:rPr>
          <w:rFonts w:hint="eastAsia"/>
        </w:rPr>
        <w:t>）用户设置和电子签名</w:t>
      </w:r>
    </w:p>
    <w:p>
      <w:r>
        <w:drawing>
          <wp:inline distT="0" distB="0" distL="0" distR="0">
            <wp:extent cx="5276850" cy="1360805"/>
            <wp:effectExtent l="0" t="0" r="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300277" cy="1367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bdr w:val="single" w:color="auto" w:sz="4" w:space="0"/>
        </w:rPr>
        <w:drawing>
          <wp:inline distT="0" distB="0" distL="0" distR="0">
            <wp:extent cx="4309110" cy="1347470"/>
            <wp:effectExtent l="0" t="0" r="0" b="508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426817" cy="13841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jc w:val="center"/>
      </w:pPr>
      <w:r>
        <w:rPr>
          <w:bdr w:val="single" w:color="auto" w:sz="4" w:space="0"/>
        </w:rPr>
        <w:drawing>
          <wp:inline distT="0" distB="0" distL="0" distR="0">
            <wp:extent cx="4552315" cy="2312035"/>
            <wp:effectExtent l="0" t="0" r="635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21"/>
                    <a:srcRect t="19609"/>
                    <a:stretch>
                      <a:fillRect/>
                    </a:stretch>
                  </pic:blipFill>
                  <pic:spPr>
                    <a:xfrm>
                      <a:off x="0" y="0"/>
                      <a:ext cx="4560346" cy="231646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footerReference r:id="rId3" w:type="default"/>
      <w:pgSz w:w="11906" w:h="16838"/>
      <w:pgMar w:top="851" w:right="1797" w:bottom="567" w:left="1797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405020795"/>
      <w:docPartObj>
        <w:docPartGallery w:val="autotext"/>
      </w:docPartObj>
    </w:sdtPr>
    <w:sdtContent>
      <w:p>
        <w:pPr>
          <w:pStyle w:val="2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</w:p>
    </w:sdtContent>
  </w:sdt>
  <w:p>
    <w:pPr>
      <w:pStyle w:val="2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DD74D93"/>
    <w:multiLevelType w:val="multilevel"/>
    <w:tmpl w:val="5DD74D93"/>
    <w:lvl w:ilvl="0" w:tentative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mI5NjJlOTEwNGJhYzI1Y2M1NTkxMjBmOWI4MDc4Y2IifQ=="/>
  </w:docVars>
  <w:rsids>
    <w:rsidRoot w:val="006826F0"/>
    <w:rsid w:val="0006123F"/>
    <w:rsid w:val="00080D29"/>
    <w:rsid w:val="001301D3"/>
    <w:rsid w:val="00132F7F"/>
    <w:rsid w:val="00134100"/>
    <w:rsid w:val="00172E83"/>
    <w:rsid w:val="001E7727"/>
    <w:rsid w:val="001F2F4C"/>
    <w:rsid w:val="002003BB"/>
    <w:rsid w:val="00220EC3"/>
    <w:rsid w:val="00261F6E"/>
    <w:rsid w:val="002A2241"/>
    <w:rsid w:val="002B6138"/>
    <w:rsid w:val="003407AD"/>
    <w:rsid w:val="00386F13"/>
    <w:rsid w:val="00416346"/>
    <w:rsid w:val="004B27B8"/>
    <w:rsid w:val="00564F42"/>
    <w:rsid w:val="00577678"/>
    <w:rsid w:val="005853CA"/>
    <w:rsid w:val="0059038A"/>
    <w:rsid w:val="00596ECC"/>
    <w:rsid w:val="005D4F51"/>
    <w:rsid w:val="006047F1"/>
    <w:rsid w:val="00622BD8"/>
    <w:rsid w:val="006826F0"/>
    <w:rsid w:val="006A6E59"/>
    <w:rsid w:val="006E46F4"/>
    <w:rsid w:val="006F7D27"/>
    <w:rsid w:val="007745F7"/>
    <w:rsid w:val="00777F13"/>
    <w:rsid w:val="007C055C"/>
    <w:rsid w:val="007E21E1"/>
    <w:rsid w:val="00845739"/>
    <w:rsid w:val="008727D5"/>
    <w:rsid w:val="00890A63"/>
    <w:rsid w:val="00896E74"/>
    <w:rsid w:val="008A2B0A"/>
    <w:rsid w:val="008D70EB"/>
    <w:rsid w:val="008F0D5A"/>
    <w:rsid w:val="008F6BA3"/>
    <w:rsid w:val="00991BC7"/>
    <w:rsid w:val="009A54C6"/>
    <w:rsid w:val="009B4E12"/>
    <w:rsid w:val="009B7351"/>
    <w:rsid w:val="009C1EB9"/>
    <w:rsid w:val="009E1E82"/>
    <w:rsid w:val="00A07595"/>
    <w:rsid w:val="00A12838"/>
    <w:rsid w:val="00A571C7"/>
    <w:rsid w:val="00A57468"/>
    <w:rsid w:val="00A70A22"/>
    <w:rsid w:val="00A84B09"/>
    <w:rsid w:val="00A96776"/>
    <w:rsid w:val="00AC58BB"/>
    <w:rsid w:val="00B1460E"/>
    <w:rsid w:val="00B74029"/>
    <w:rsid w:val="00B76E25"/>
    <w:rsid w:val="00BC3678"/>
    <w:rsid w:val="00C5094E"/>
    <w:rsid w:val="00C571BE"/>
    <w:rsid w:val="00C77183"/>
    <w:rsid w:val="00CC3E8D"/>
    <w:rsid w:val="00CC6F7E"/>
    <w:rsid w:val="00CC7540"/>
    <w:rsid w:val="00CD7543"/>
    <w:rsid w:val="00D076EE"/>
    <w:rsid w:val="00D266BA"/>
    <w:rsid w:val="00D91E80"/>
    <w:rsid w:val="00DB6B62"/>
    <w:rsid w:val="00E41999"/>
    <w:rsid w:val="00EA6632"/>
    <w:rsid w:val="00ED24B1"/>
    <w:rsid w:val="00EE3823"/>
    <w:rsid w:val="00F13B53"/>
    <w:rsid w:val="00F9669E"/>
    <w:rsid w:val="00FF32E7"/>
    <w:rsid w:val="34557066"/>
    <w:rsid w:val="42B6712B"/>
    <w:rsid w:val="7CA95D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10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9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4">
    <w:name w:val="Subtitle"/>
    <w:basedOn w:val="1"/>
    <w:next w:val="1"/>
    <w:link w:val="13"/>
    <w:qFormat/>
    <w:uiPriority w:val="11"/>
    <w:pPr>
      <w:spacing w:before="240" w:after="60" w:line="312" w:lineRule="auto"/>
      <w:jc w:val="center"/>
      <w:outlineLvl w:val="1"/>
    </w:pPr>
    <w:rPr>
      <w:b/>
      <w:bCs/>
      <w:kern w:val="28"/>
      <w:sz w:val="32"/>
      <w:szCs w:val="32"/>
    </w:rPr>
  </w:style>
  <w:style w:type="character" w:styleId="7">
    <w:name w:val="FollowedHyperlink"/>
    <w:basedOn w:val="6"/>
    <w:semiHidden/>
    <w:unhideWhenUsed/>
    <w:uiPriority w:val="99"/>
    <w:rPr>
      <w:color w:val="954F72" w:themeColor="followedHyperlink"/>
      <w:u w:val="single"/>
      <w14:textFill>
        <w14:solidFill>
          <w14:schemeClr w14:val="folHlink"/>
        </w14:solidFill>
      </w14:textFill>
    </w:rPr>
  </w:style>
  <w:style w:type="character" w:styleId="8">
    <w:name w:val="Hyperlink"/>
    <w:basedOn w:val="6"/>
    <w:unhideWhenUsed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9">
    <w:name w:val="页眉 字符"/>
    <w:basedOn w:val="6"/>
    <w:link w:val="3"/>
    <w:uiPriority w:val="99"/>
    <w:rPr>
      <w:sz w:val="18"/>
      <w:szCs w:val="18"/>
    </w:rPr>
  </w:style>
  <w:style w:type="character" w:customStyle="1" w:styleId="10">
    <w:name w:val="页脚 字符"/>
    <w:basedOn w:val="6"/>
    <w:link w:val="2"/>
    <w:uiPriority w:val="99"/>
    <w:rPr>
      <w:sz w:val="18"/>
      <w:szCs w:val="18"/>
    </w:rPr>
  </w:style>
  <w:style w:type="paragraph" w:styleId="11">
    <w:name w:val="List Paragraph"/>
    <w:basedOn w:val="1"/>
    <w:qFormat/>
    <w:uiPriority w:val="34"/>
    <w:pPr>
      <w:ind w:firstLine="420" w:firstLineChars="200"/>
    </w:pPr>
  </w:style>
  <w:style w:type="character" w:customStyle="1" w:styleId="12">
    <w:name w:val="Unresolved Mention"/>
    <w:basedOn w:val="6"/>
    <w:semiHidden/>
    <w:unhideWhenUsed/>
    <w:uiPriority w:val="99"/>
    <w:rPr>
      <w:color w:val="605E5C"/>
      <w:shd w:val="clear" w:color="auto" w:fill="E1DFDD"/>
    </w:rPr>
  </w:style>
  <w:style w:type="character" w:customStyle="1" w:styleId="13">
    <w:name w:val="副标题 字符"/>
    <w:basedOn w:val="6"/>
    <w:link w:val="4"/>
    <w:uiPriority w:val="11"/>
    <w:rPr>
      <w:b/>
      <w:bCs/>
      <w:kern w:val="28"/>
      <w:sz w:val="32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3" Type="http://schemas.openxmlformats.org/officeDocument/2006/relationships/fontTable" Target="fontTable.xml"/><Relationship Id="rId22" Type="http://schemas.openxmlformats.org/officeDocument/2006/relationships/numbering" Target="numbering.xml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187</Words>
  <Characters>1069</Characters>
  <Lines>8</Lines>
  <Paragraphs>2</Paragraphs>
  <TotalTime>59</TotalTime>
  <ScaleCrop>false</ScaleCrop>
  <LinksUpToDate>false</LinksUpToDate>
  <CharactersWithSpaces>1254</CharactersWithSpaces>
  <Application>WPS Office_12.1.0.15990_F1E327BC-269C-435d-A152-05C5408002CA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2019-12-12T12:14:00Z</dcterms:created>
  <dc:creator>高 喜筠</dc:creator>
  <cp:lastModifiedBy>胖蛋22</cp:lastModifiedBy>
  <dcterms:modified xsi:type="dcterms:W3CDTF">2023-12-28T07:46:39Z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2052-12.1.0.15990</vt:lpwstr>
  </property>
  <property fmtid="{D5CDD505-2E9C-101B-9397-08002B2CF9AE}" pid="3" name="ICV">
    <vt:lpwstr>70CC465DDFFD43DAAD0DC116920A48E7_13</vt:lpwstr>
  </property>
</Properties>
</file>